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通州区残疾人专门协会服务机构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一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Style w:val="4"/>
          <w:rFonts w:hint="eastAsia" w:ascii="黑体" w:hAnsi="黑体" w:eastAsia="黑体" w:cs="黑体"/>
          <w:sz w:val="32"/>
          <w:szCs w:val="32"/>
        </w:rPr>
        <w:t>总则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为规范残疾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门协会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服务机构遴选工作，确保遴选过程公开、公平、公正，特制定本办法。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本办法适用于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通州区残疾人联合会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对残疾人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门协会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服务机构的遴选工作。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二、评分原则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平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公正原则：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评审标准统一，确保所有参与机构享有平等机会。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科学合理原则：评分指标设置科学合理，能够全面反映机构的服务能力和水平。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三、 评分指标及权重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机构资质（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）：包含法人资质和信用记录两个评分维度。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服务方案（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40%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）：综合考察服务方案是否符合残疾人群体的实际需求，服务内容的全面性及可持续性，服务模式的创新性及经费预算的科学、合理、详尽。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服务实力（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40%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）：包含团队专业性和服务经验两个评分维度。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具体评分标准见附件评分表。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黑体" w:hAnsi="黑体" w:eastAsia="黑体" w:cs="黑体"/>
          <w:sz w:val="32"/>
          <w:szCs w:val="32"/>
        </w:rPr>
        <w:t>四、 评分方法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组成评审小组，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采用百分制评分，满分为100分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由评审小组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根据评分标准对各参选机构进行评分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，所有成员的评分结果汇总求出平均得分，作为机构最终得分。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评审小组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即通州区残疾人专门协会服务项目自行采购小组，由残疾人专门协会工作采购科室的主管领导、采购科室负责人、工作人员及各协会主席组成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五、评分结果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评审小组根据各机构的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最终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得分情况，按照从高到低的顺序进行排序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得分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最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高的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机构为拟中选机构。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</w:rPr>
        <w:t>六、附则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 xml:space="preserve"> 本办法由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州区残疾人联合会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负责解释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七、</w:t>
      </w:r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残疾人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门协会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服务机构遴选评分表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D2E73"/>
    <w:rsid w:val="1F3C8F7F"/>
    <w:rsid w:val="2DFEE736"/>
    <w:rsid w:val="37FF14E1"/>
    <w:rsid w:val="3A2EED8A"/>
    <w:rsid w:val="3B3F8194"/>
    <w:rsid w:val="3EAB0813"/>
    <w:rsid w:val="459E9C17"/>
    <w:rsid w:val="4FF7AC7D"/>
    <w:rsid w:val="577FDEBF"/>
    <w:rsid w:val="5AF788F1"/>
    <w:rsid w:val="5BF3E032"/>
    <w:rsid w:val="5EDE542C"/>
    <w:rsid w:val="5F73BCBE"/>
    <w:rsid w:val="5FF7C01C"/>
    <w:rsid w:val="5FFA4360"/>
    <w:rsid w:val="73FECC81"/>
    <w:rsid w:val="74FCFF13"/>
    <w:rsid w:val="7A3FB493"/>
    <w:rsid w:val="7B759D33"/>
    <w:rsid w:val="7DBEFE89"/>
    <w:rsid w:val="7FFE0288"/>
    <w:rsid w:val="9BFD719F"/>
    <w:rsid w:val="BADE8298"/>
    <w:rsid w:val="D8CFE949"/>
    <w:rsid w:val="DC79178D"/>
    <w:rsid w:val="E78ED17F"/>
    <w:rsid w:val="E7FFB1C2"/>
    <w:rsid w:val="F2D6D2D3"/>
    <w:rsid w:val="FBDBFE69"/>
    <w:rsid w:val="FCFB2FEB"/>
    <w:rsid w:val="FF5E54E8"/>
    <w:rsid w:val="FFB6DBD0"/>
    <w:rsid w:val="FFFD0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31.6666666666667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cp:lastPrinted>2025-03-08T18:30:40Z</cp:lastPrinted>
  <dcterms:modified xsi:type="dcterms:W3CDTF">2025-03-31T14:03:43Z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